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F88" w:rsidRDefault="00DC7F88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bookmarkStart w:id="0" w:name="_GoBack"/>
      <w:bookmarkEnd w:id="0"/>
    </w:p>
    <w:p w:rsidR="00DC7F88" w:rsidRDefault="008341A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6609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66091"/>
          <w:sz w:val="32"/>
          <w:szCs w:val="32"/>
        </w:rPr>
        <w:t>A mosonmagyaróvári</w:t>
      </w:r>
      <w:r>
        <w:rPr>
          <w:rFonts w:ascii="Times New Roman" w:eastAsia="Times New Roman" w:hAnsi="Times New Roman" w:cs="Times New Roman"/>
          <w:color w:val="36609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366091"/>
          <w:sz w:val="32"/>
          <w:szCs w:val="32"/>
        </w:rPr>
        <w:t>Piarista Gimnázium,</w:t>
      </w:r>
    </w:p>
    <w:p w:rsidR="00DC7F88" w:rsidRDefault="008341A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6609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66091"/>
          <w:sz w:val="32"/>
          <w:szCs w:val="32"/>
        </w:rPr>
        <w:t>Általános Iskola és Óvoda</w:t>
      </w:r>
    </w:p>
    <w:p w:rsidR="00DC7F88" w:rsidRDefault="008341A9">
      <w:pPr>
        <w:spacing w:line="360" w:lineRule="auto"/>
        <w:jc w:val="center"/>
        <w:rPr>
          <w:rFonts w:ascii="Times New Roman" w:eastAsia="Times New Roman" w:hAnsi="Times New Roman" w:cs="Times New Roman"/>
          <w:color w:val="36609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66091"/>
          <w:sz w:val="32"/>
          <w:szCs w:val="32"/>
        </w:rPr>
        <w:t>tanév végi beszámolója</w:t>
      </w:r>
    </w:p>
    <w:p w:rsidR="00DC7F88" w:rsidRDefault="00DC7F88">
      <w:pPr>
        <w:spacing w:line="360" w:lineRule="auto"/>
        <w:jc w:val="center"/>
        <w:rPr>
          <w:rFonts w:ascii="Times New Roman" w:eastAsia="Times New Roman" w:hAnsi="Times New Roman" w:cs="Times New Roman"/>
          <w:color w:val="366091"/>
          <w:sz w:val="32"/>
          <w:szCs w:val="32"/>
        </w:rPr>
      </w:pPr>
    </w:p>
    <w:p w:rsidR="00DC7F88" w:rsidRDefault="008341A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  <w:t>2023/2024. tanév</w:t>
      </w: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>
            <wp:extent cx="1841264" cy="183374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1264" cy="18337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7F88" w:rsidRDefault="00DC7F8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Készítette: Nyerges-Zombó Katalin</w:t>
      </w:r>
    </w:p>
    <w:p w:rsidR="00DC7F88" w:rsidRDefault="008341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intézményvezető</w:t>
      </w:r>
    </w:p>
    <w:p w:rsidR="00DC7F88" w:rsidRDefault="00DC7F88">
      <w:pPr>
        <w:spacing w:line="240" w:lineRule="auto"/>
        <w:rPr>
          <w:rFonts w:ascii="Times New Roman" w:eastAsia="Times New Roman" w:hAnsi="Times New Roman" w:cs="Times New Roman"/>
          <w:color w:val="17365D"/>
          <w:sz w:val="24"/>
          <w:szCs w:val="24"/>
        </w:rPr>
      </w:pPr>
    </w:p>
    <w:p w:rsidR="00DC7F88" w:rsidRDefault="00DC7F88">
      <w:pPr>
        <w:spacing w:line="240" w:lineRule="auto"/>
        <w:jc w:val="center"/>
        <w:rPr>
          <w:rFonts w:ascii="Times New Roman" w:eastAsia="Times New Roman" w:hAnsi="Times New Roman" w:cs="Times New Roman"/>
          <w:color w:val="17365D"/>
          <w:sz w:val="24"/>
          <w:szCs w:val="24"/>
        </w:rPr>
      </w:pPr>
    </w:p>
    <w:p w:rsidR="00DC7F88" w:rsidRDefault="008341A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7365D"/>
          <w:sz w:val="24"/>
          <w:szCs w:val="24"/>
        </w:rPr>
        <w:t>Piarista Gimnázium, Általános Iskola és Óvoda</w:t>
      </w:r>
    </w:p>
    <w:p w:rsidR="00DC7F88" w:rsidRDefault="008341A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7365D"/>
          <w:sz w:val="24"/>
          <w:szCs w:val="24"/>
        </w:rPr>
        <w:t>OM azonosító: 030502</w:t>
      </w:r>
    </w:p>
    <w:p w:rsidR="00DC7F88" w:rsidRDefault="008341A9">
      <w:pPr>
        <w:spacing w:after="140" w:line="240" w:lineRule="auto"/>
        <w:jc w:val="center"/>
        <w:rPr>
          <w:rFonts w:ascii="Times New Roman" w:eastAsia="Times New Roman" w:hAnsi="Times New Roman" w:cs="Times New Roman"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color w:val="17365D"/>
          <w:sz w:val="24"/>
          <w:szCs w:val="24"/>
        </w:rPr>
        <w:t>9200 Mosonmagyaróvár, Fő utca 4.</w:t>
      </w:r>
    </w:p>
    <w:p w:rsidR="00DC7F88" w:rsidRDefault="008341A9">
      <w:pPr>
        <w:spacing w:line="240" w:lineRule="auto"/>
        <w:jc w:val="center"/>
        <w:rPr>
          <w:rFonts w:ascii="Times New Roman" w:eastAsia="Times New Roman" w:hAnsi="Times New Roman" w:cs="Times New Roman"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Telefon: +36-96/576-475, 576-476, 576-477 </w:t>
      </w:r>
    </w:p>
    <w:p w:rsidR="00DC7F88" w:rsidRDefault="008341A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E-mail cím: iskola@movar.piarista.hu </w:t>
      </w:r>
    </w:p>
    <w:p w:rsidR="00DC7F88" w:rsidRDefault="008341A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7365D"/>
          <w:sz w:val="24"/>
          <w:szCs w:val="24"/>
        </w:rPr>
        <w:t>Honlap: http://movar.piarista.hu</w:t>
      </w:r>
    </w:p>
    <w:p w:rsidR="00DC7F88" w:rsidRDefault="008341A9">
      <w:pPr>
        <w:pStyle w:val="Cmsor1"/>
        <w:numPr>
          <w:ilvl w:val="0"/>
          <w:numId w:val="6"/>
        </w:numPr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lastRenderedPageBreak/>
        <w:t>Bevezetés</w:t>
      </w:r>
    </w:p>
    <w:p w:rsidR="00DC7F88" w:rsidRDefault="008341A9">
      <w:pPr>
        <w:pStyle w:val="Cmsor2"/>
        <w:numPr>
          <w:ilvl w:val="1"/>
          <w:numId w:val="6"/>
        </w:numPr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A 2023/2024-es tanévet meghatározó jogszabályok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2011. évi CXC. nemzeti köznevelésről szóló törvény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2023. évi LII. törvény a pedagógusok új életpályájáról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20/2012. (VIII.31.) EMMI rendelet a nevelési-oktatási intézmények működéséről és a köznevelési intézmények névhasználatáról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229/2012. (VIII.28.) Korm. rendelet a nemzeti köznevelésről szóló törvény vég</w:t>
      </w:r>
      <w:r>
        <w:rPr>
          <w:rFonts w:ascii="Times New Roman" w:eastAsia="Times New Roman" w:hAnsi="Times New Roman" w:cs="Times New Roman"/>
          <w:sz w:val="24"/>
          <w:szCs w:val="24"/>
        </w:rPr>
        <w:t>rehajtásáról. 23§ Közzétételi lista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401/2023. (VIII. 30.) Korm. rendelet a pedagógusok új életpályájáról szóló 2023. évi LII. törvény végrehajtásáról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30/2023. (VIII. 22.) BM rendelet a 2023/2024. tanév rendjéről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10/1997. (VI.13) kormányrendelet az érettség</w:t>
      </w:r>
      <w:r>
        <w:rPr>
          <w:rFonts w:ascii="Times New Roman" w:eastAsia="Times New Roman" w:hAnsi="Times New Roman" w:cs="Times New Roman"/>
          <w:sz w:val="24"/>
          <w:szCs w:val="24"/>
        </w:rPr>
        <w:t>i vizsgáztatás szabályairól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36/2015. (III.6) kormányrendelet az érettségi vizsgaszabályzat módosításáról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Egyes törvényeknek a gyermekek védelme érdekében történő módosításáról szóló 2013. évi CCXLV. Törvény.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Egyes oktatási tárgyú törvények módosításáról sz</w:t>
      </w:r>
      <w:r>
        <w:rPr>
          <w:rFonts w:ascii="Times New Roman" w:eastAsia="Times New Roman" w:hAnsi="Times New Roman" w:cs="Times New Roman"/>
          <w:sz w:val="24"/>
          <w:szCs w:val="24"/>
        </w:rPr>
        <w:t>óló 2014. évi XXXVI. törvény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köznevelés szabályozására vonatkozó egyes miniszteri rendeletek módosításáról szóló 34/2014. (IV. 29.) EMMI rendelet.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9/2018. (V. 19.) NGM rendelet a 2019. évi munkaszüneti napok körüli munkarendről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egyes köznevelési tárgy</w:t>
      </w:r>
      <w:r>
        <w:rPr>
          <w:rFonts w:ascii="Times New Roman" w:eastAsia="Times New Roman" w:hAnsi="Times New Roman" w:cs="Times New Roman"/>
          <w:sz w:val="24"/>
          <w:szCs w:val="24"/>
        </w:rPr>
        <w:t>ú miniszteri rendeletek módosításáról szóló 6/2014. (I. 29.) EMMI rendelet.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11/2012. (VII. 30.) EMMI rendelet a kerettantervek kiadásának és jóváhagyásának rendjéről, valamint egyes oktatási jogszabályok módosításáról szóló 17/2004. (V. 20.) OM rendelet mó</w:t>
      </w:r>
      <w:r>
        <w:rPr>
          <w:rFonts w:ascii="Times New Roman" w:eastAsia="Times New Roman" w:hAnsi="Times New Roman" w:cs="Times New Roman"/>
          <w:sz w:val="24"/>
          <w:szCs w:val="24"/>
        </w:rPr>
        <w:t>dosításáról.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Nemzeti alaptanterv kiadásáról, bevezetéséről és alkalmazásáról szóló 110/2012. (VI. 4.) Kormányrendelet módosításáról szóló 7/2014. (I. 17.) Kormányrendelet.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kerettantervek kiadásának és jóváhagyásának rendjéről szóló 51/2012. (XII. 21.) </w:t>
      </w:r>
      <w:r>
        <w:rPr>
          <w:rFonts w:ascii="Times New Roman" w:eastAsia="Times New Roman" w:hAnsi="Times New Roman" w:cs="Times New Roman"/>
          <w:sz w:val="24"/>
          <w:szCs w:val="24"/>
        </w:rPr>
        <w:t>EMMI rendelet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2012. évi CXXV. Törvény a tankönyvpiac rendjéről szóló 2001. évi XXXVII. Törvény módosításáról.</w:t>
      </w:r>
    </w:p>
    <w:p w:rsidR="00DC7F88" w:rsidRDefault="008341A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277/1997. Kormányrendelet a pedagógus továbbképzésről, a pedagógus-szakvizsgáról, valamint a továbbképzésben résztvevők juttatásairól és kedvezményeiről.</w:t>
      </w:r>
    </w:p>
    <w:p w:rsidR="00DC7F88" w:rsidRDefault="008341A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26/1997 (IX. 3.) NM rendelet az iskola-egészségügyi ellátásról.</w:t>
      </w:r>
    </w:p>
    <w:p w:rsidR="00DC7F88" w:rsidRDefault="00DC7F88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pStyle w:val="Cmsor2"/>
        <w:numPr>
          <w:ilvl w:val="1"/>
          <w:numId w:val="6"/>
        </w:numPr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3" w:name="_1fob9te" w:colFirst="0" w:colLast="0"/>
      <w:bookmarkEnd w:id="3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A 2023/2024-es tanév működését meghatározó intézményi dokumentumok</w:t>
      </w:r>
    </w:p>
    <w:p w:rsidR="00DC7F88" w:rsidRDefault="008341A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Pedagógiai Program 2021</w:t>
      </w:r>
    </w:p>
    <w:p w:rsidR="00DC7F88" w:rsidRDefault="008341A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SZMSZ 2016,</w:t>
      </w:r>
    </w:p>
    <w:p w:rsidR="00DC7F88" w:rsidRDefault="008341A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Házirend 2019</w:t>
      </w:r>
    </w:p>
    <w:p w:rsidR="00DC7F88" w:rsidRDefault="008341A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munkaközösségek, diákbizottság dokumentumai</w:t>
      </w:r>
    </w:p>
    <w:p w:rsidR="00DC7F88" w:rsidRDefault="00DC7F88">
      <w:pPr>
        <w:spacing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color w:val="17365D"/>
          <w:sz w:val="24"/>
          <w:szCs w:val="24"/>
        </w:rPr>
      </w:pPr>
    </w:p>
    <w:p w:rsidR="00DC7F88" w:rsidRDefault="008341A9">
      <w:pPr>
        <w:pStyle w:val="Cmsor1"/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4" w:name="_haw3qivwfgui" w:colFirst="0" w:colLast="0"/>
      <w:bookmarkEnd w:id="4"/>
      <w:r>
        <w:br w:type="page"/>
      </w:r>
    </w:p>
    <w:p w:rsidR="00DC7F88" w:rsidRDefault="008341A9">
      <w:pPr>
        <w:pStyle w:val="Cmsor1"/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5" w:name="_3znysh7" w:colFirst="0" w:colLast="0"/>
      <w:bookmarkEnd w:id="5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lastRenderedPageBreak/>
        <w:t>2. Intézményi helyzetelemzés</w:t>
      </w:r>
    </w:p>
    <w:p w:rsidR="00DC7F88" w:rsidRDefault="008341A9">
      <w:pPr>
        <w:pStyle w:val="Cmsor2"/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6" w:name="_2et92p0" w:colFirst="0" w:colLast="0"/>
      <w:bookmarkEnd w:id="6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 xml:space="preserve">2.1 </w:t>
      </w: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ab/>
        <w:t>Helyi küldetés, stratégiai célok megvalósítása, vezetői ö</w:t>
      </w: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 xml:space="preserve">sszefoglaló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Iskolánk a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Pietas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litterae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jelmondat szellemiségét szem előtt tartva küldetésének tekinti, hogy a rábízott diákokat hitre és tudásra nevelje. Nem csak kultúra átadására törekszünk, hanem a tudás és a hit szintéziséből fakadó sajátos élets</w:t>
      </w:r>
      <w:r>
        <w:rPr>
          <w:rFonts w:ascii="Times New Roman" w:eastAsia="Times New Roman" w:hAnsi="Times New Roman" w:cs="Times New Roman"/>
          <w:sz w:val="24"/>
          <w:szCs w:val="24"/>
        </w:rPr>
        <w:t>zemlélet megalapozására is, illetve pedagógiai eszközeinket annak céljába állítjuk, hogy a teljes személyiség kibontakozását segítsük. Így igyekszünk az iskola közel 300 éves múltjához méltó oktatás megvalósítására.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tanév kiemelt stratégiai célja volt a </w:t>
      </w:r>
      <w:r>
        <w:rPr>
          <w:rFonts w:ascii="Times New Roman" w:eastAsia="Times New Roman" w:hAnsi="Times New Roman" w:cs="Times New Roman"/>
          <w:sz w:val="24"/>
          <w:szCs w:val="24"/>
        </w:rPr>
        <w:t>tavalyi célhoz hasonlóan mind az általános iskolai, mind a gimnáziumi beiskolázásunk további erősítése, ennek sikeressége érdekében egy részletesen kidolgozott, több állomásból álló program megvalósítása, melynek legfontosabb elemei a következők voltak: új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szórólapok tervezése és nyomtatása, azok eljuttatása a célközönséghez, nyílt napok jelenléti és online formában, a városi pályaválasztási napon való megjelenés, a városi és környékbeli iskolákban osztályfőnöki órákon való bemutatkozás, tájékoztató kisfilm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ek készítése, iskolanyitogató foglalkozások, óvodákban való megjelenés.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Megvalósítandó célunk volt a gimnáziumi képzés területén továbbra is két párhuzamos osztály indítása a kezdő évfolyamon. Ezt a célunkat sikerült elérnünk, ugyanis a 2024/2025-ös tanév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 ismét két 9. osztállyal indítjuk. A 2023/2024-es tanév pedagógiai és szervezeti újdonsága volt a média tagozat elindítása, amely - egyre inkább látható a jelentkezési adatokból - egyre nagyobb népszerűségnek örvend.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középiskolai képzés megfelelő léts</w:t>
      </w:r>
      <w:r>
        <w:rPr>
          <w:rFonts w:ascii="Times New Roman" w:eastAsia="Times New Roman" w:hAnsi="Times New Roman" w:cs="Times New Roman"/>
          <w:sz w:val="24"/>
          <w:szCs w:val="24"/>
        </w:rPr>
        <w:t>zámának biztosítása érdekében a 7. és 8. évfolyamos diákjaink számára természettudományos szakkört, nyílt napokat szerveztünk és a végzősök számára felvételi előkészítőt tartottunk matematika és magyar nyelv tantárgyakból. A nyílt napok alkalmával az érdek</w:t>
      </w:r>
      <w:r>
        <w:rPr>
          <w:rFonts w:ascii="Times New Roman" w:eastAsia="Times New Roman" w:hAnsi="Times New Roman" w:cs="Times New Roman"/>
          <w:sz w:val="24"/>
          <w:szCs w:val="24"/>
        </w:rPr>
        <w:t>lődők megismerhették intézményünket, tanítási órákat lehetett látogatni, és emellett jelenlegi diákjaink mutatták be az érdeklődők számára, hogy miért is jó és érdemes Mosonmagyaróváron piarista diáknak lenni.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általános iskolai beiskolázásunk az idei 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névben szintén sikeres volt. Az előző tanévben sajnos csak egy 1. osztályt tudtunk indítani, ez mind a létszámokat illetően, mind lélektani hatását illetően nagy törés volt. Ezt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orvoslandó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intézkedési terv született, melynek legfontosabb elemei: nyílt napo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óvódákkal való kapcsolaterősítés, oviolimpia, óvónők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meghívása iskolánkba. Az eljárás sikerességét mutatja, hogy a 2024-2025-ös (tehát a jelenlegi) tanévet több mint kétszer annyian kezdjük az első osztályokban, mint tavaly.</w:t>
      </w:r>
    </w:p>
    <w:p w:rsidR="00DC7F88" w:rsidRDefault="00DC7F88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pStyle w:val="Cmsor2"/>
        <w:spacing w:before="200" w:after="0" w:line="360" w:lineRule="auto"/>
        <w:jc w:val="both"/>
        <w:rPr>
          <w:rFonts w:ascii="Times New Roman" w:eastAsia="Times New Roman" w:hAnsi="Times New Roman" w:cs="Times New Roman"/>
          <w:color w:val="17365D"/>
          <w:sz w:val="24"/>
          <w:szCs w:val="24"/>
        </w:rPr>
      </w:pPr>
      <w:bookmarkStart w:id="7" w:name="_1zwelz64m8fn" w:colFirst="0" w:colLast="0"/>
      <w:bookmarkEnd w:id="7"/>
      <w:proofErr w:type="gramStart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Pedagógiai</w:t>
      </w:r>
      <w:proofErr w:type="gramEnd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 xml:space="preserve"> célok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kánk során az iskola hagyományaihoz híven a színvonalas oktató-nevelő munkára törekedtünk. Ennek érdekében terveztünk meg helyi szakmai továbbképzéseket, vettünk részt belső továbbképzésen, tagozatok közötti és munkaközösségeken belüli tudásmegosztásokon,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ahol új módszerekkel, nevelési lehetőségekkel ismerkedtünk meg.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Kiemelt feladatként kezeltük tanulóink képességek szerinti fejlődését, SNI-s tanulók fejlesztését 100%-ban el tudtuk látni gyógypedagógusunk segítségével, míg a BTMN-es tanulók is megkapták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fejlesztést az előírásoknak megfelelően. A tehetségek kibontakoztatását, a tanulmányi versenyekre való felkészülést a szakkörök munkája segítette, míg a felzárkóztatásra az alsó tagozaton rendszeres egyéni és kiscsoportos foglalkozásokon került sor.  A ta</w:t>
      </w:r>
      <w:r>
        <w:rPr>
          <w:rFonts w:ascii="Times New Roman" w:eastAsia="Times New Roman" w:hAnsi="Times New Roman" w:cs="Times New Roman"/>
          <w:sz w:val="24"/>
          <w:szCs w:val="24"/>
        </w:rPr>
        <w:t>név során tovább folytattuk azokat a programokat, amelyek a mindennapi mozgást és az egészséges életmódot biztosították diákjaink részére.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Hiszünk abban, hogy akkor fogunk tudni eredményes pedagógiai munkát végezni, ha tanáraink az élethosszig tartó tanulás jegyében folyamatosan képzik magukat,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illetve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ha nyitottak az új pedagógiai generáció által is képviselt rendhagyó munkaformákra, módszer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ekre, eszközökre. Ehhez viszont az szükségeltetik, hogy a különböző generációk értsék egymást, nyissanak egymás felé. Ennek jegyében, illetve egyfajta “Szülők iskolája” nevű előadássorozat elindításaként szerveztük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Steigervald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Krisztián generációkutató elő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adását a szülők, külsős érdeklődők számára és belső workshopját a tantestület számára.  </w:t>
      </w:r>
    </w:p>
    <w:p w:rsidR="00DC7F88" w:rsidRDefault="00DC7F88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pStyle w:val="Cmsor2"/>
        <w:spacing w:before="200" w:after="0"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8" w:name="_qmrepc7m1rt7" w:colFirst="0" w:colLast="0"/>
      <w:bookmarkEnd w:id="8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 xml:space="preserve">2.3. Kiemelt nevelési célok 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 tanév kiemelt céljai között szerepelt a környezettudatos szemlélet kialakítása, a fenntarthatóságra való nevelés. A szemlélet formálásának kialakítása céljából szelektív hulladékgyűjtést végzünk az iskolánkban, az év során több alkalommal szerveztünk pap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írgyűjtést, és folyamatos lehetőség van a kupakok, elemek gyűjtésére. Tavasszal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Fenntarthatósági Témahetet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szerveztünk, melynek folyamán meghívott előadók, projektfoglalkozások, kirándulások segítettek a szemléletformálásban. A további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szemléletformálást 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zem előtt tartva alakult meg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Fenntarthatósági Munkacsoport</w:t>
      </w:r>
      <w:r>
        <w:rPr>
          <w:rFonts w:ascii="Times New Roman" w:eastAsia="Times New Roman" w:hAnsi="Times New Roman" w:cs="Times New Roman"/>
          <w:sz w:val="24"/>
          <w:szCs w:val="24"/>
        </w:rPr>
        <w:t>, akik tovább dolgoznak tartalmas, egész iskolára szóló, folyamatban gondolkozó terv kidolgozásán.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Törekedtünk arra, hogy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intézményeink  módszeresen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nyújtsanak támogatást a diákoknak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életpálya-te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rvezés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ükben és életpálya-vezetési kompetenciáik fejlesztésében, korosztályoknak megfelelő szinten. Ennek érdekében nagyszabású pályaorientációs napot szerveztünk, a különböző korosztályoknak eltérő módon,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gimmnazistáink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ezen túl részt vettek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Educatio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Ne</w:t>
      </w:r>
      <w:r>
        <w:rPr>
          <w:rFonts w:ascii="Times New Roman" w:eastAsia="Times New Roman" w:hAnsi="Times New Roman" w:cs="Times New Roman"/>
          <w:sz w:val="24"/>
          <w:szCs w:val="24"/>
        </w:rPr>
        <w:t>mzetközi Oktatási Szakkiállításon.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technológiai fejlődés folyamatosan alakítja a világot, és ennek jövőbeli változásait nem lehet előre látni. Ezért arra törekedtünk, hogy a diákok megszerezzék azokat a kulcskompetenciákat, melyek elengedhetetlenek a vál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tozásokhoz való rugalmas alkalmazkodáshoz, az életen át tartó tanuláshoz, illetve a korlátlan információhozzáférés okozta veszélyek felismeréséhez, a kritikus gondolkodásmódhoz. Ezt segítendő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Digitális Témahét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keretén belül a felső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tagozatosok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és a gimna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zisták megismerkedhettek a mesterséges intelligencia alkalmazási lehetőségeivel, illetve annak morális jellegű veszélyeivel is.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pénzügyi tudatosság kialakítását célozta meg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Pénz7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elnevezésű témahéthez való csatlakozásunk, melynek keretén belül közgazd</w:t>
      </w:r>
      <w:r>
        <w:rPr>
          <w:rFonts w:ascii="Times New Roman" w:eastAsia="Times New Roman" w:hAnsi="Times New Roman" w:cs="Times New Roman"/>
          <w:sz w:val="24"/>
          <w:szCs w:val="24"/>
        </w:rPr>
        <w:t>ászok segítségét bevonva oktatási anyagokat állítottunk össze a különböző korosztályok számára, melyeket az osztályfőnökök rendhagyó osztályfőnöki órákon dolgoztak fel diákjaikkal. Vendégelőadóként bank-fiókigazgató tartott szemléletformáló előadást gimnaz</w:t>
      </w:r>
      <w:r>
        <w:rPr>
          <w:rFonts w:ascii="Times New Roman" w:eastAsia="Times New Roman" w:hAnsi="Times New Roman" w:cs="Times New Roman"/>
          <w:sz w:val="24"/>
          <w:szCs w:val="24"/>
        </w:rPr>
        <w:t>ista diákjaink számára.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Mint minden tanévben, idén is prioritást kapott a nemzeti tudatra való nevelés, a hazaszeretet és a piarista identitás erősítése. A tanórák adta lehetőségeken kívül a nemzeti és egyházi ünnepeink méltó megülése, az ünnepeken a szín</w:t>
      </w:r>
      <w:r>
        <w:rPr>
          <w:rFonts w:ascii="Times New Roman" w:eastAsia="Times New Roman" w:hAnsi="Times New Roman" w:cs="Times New Roman"/>
          <w:sz w:val="24"/>
          <w:szCs w:val="24"/>
        </w:rPr>
        <w:t>vonalas énekkar és diákszínpad munkája segítette ezt a célunkat. Hogy még inkább elmélyítsük és a különböző korosztályokhoz igazítsuk a nemzeti tudatra való nevelési programunkat, partnerintézményi kapcsolatot építettünk ki a Nemzeti Örökség Intézetével.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Elkötelezettek vagyunk a művészeti nevelést illetően. Magas színvonalon működik az énekkarunk, a Piarista Diákszínpad, együttműködésben állunk a Harmónia zeneiskolával. Az egész gimnázium számára szerveztünk egy művészeti projektnapot: a KULTUP nevű ország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 színházi roadshow 19 művész közreműködésével valósult meg (többek között: Budapesti Filharmóniai Társaság, Győri Nemzeti Színház,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Aztabanda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Bánki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...).  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Az élménypedagógiai projektnap előadásai igazán közel hozták diákjainkhoz a különböző művészet</w:t>
      </w:r>
      <w:r>
        <w:rPr>
          <w:rFonts w:ascii="Times New Roman" w:eastAsia="Times New Roman" w:hAnsi="Times New Roman" w:cs="Times New Roman"/>
          <w:sz w:val="24"/>
          <w:szCs w:val="24"/>
        </w:rPr>
        <w:t>i irányzatokat, az interaktív programok során elkerülhetetlenné vált a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bevonódás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Kiemelt nevelési célunk volt az egészséges életmódra való nevelés is. Ennek érdekében a tanév végén egészségnapot szerveztünk, amely az egész iskola közösségét megmozgatt</w:t>
      </w:r>
      <w:r>
        <w:rPr>
          <w:rFonts w:ascii="Times New Roman" w:eastAsia="Times New Roman" w:hAnsi="Times New Roman" w:cs="Times New Roman"/>
          <w:sz w:val="24"/>
          <w:szCs w:val="24"/>
        </w:rPr>
        <w:t>a. Ezen a napon a testi egészség mellett a lelki és mentális egészségre is fókuszáltunk.</w:t>
      </w:r>
    </w:p>
    <w:p w:rsidR="00DC7F88" w:rsidRDefault="00DC7F88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pStyle w:val="Cmsor2"/>
        <w:spacing w:before="200" w:after="0"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9" w:name="_olfucrl9h976" w:colFirst="0" w:colLast="0"/>
      <w:bookmarkEnd w:id="9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 xml:space="preserve">2.4 Kiemelt oktatási célok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Kiemelt oktatási céljaink voltak a 2023-2024-es tanévre: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Tehetséggondozás és felzárkóztatás, a tanulmányi munka erősítése, érettségire val</w:t>
      </w:r>
      <w:r>
        <w:rPr>
          <w:rFonts w:ascii="Times New Roman" w:eastAsia="Times New Roman" w:hAnsi="Times New Roman" w:cs="Times New Roman"/>
          <w:sz w:val="24"/>
          <w:szCs w:val="24"/>
        </w:rPr>
        <w:t>ó sikeres felkészítés, a motiváció fejlesztése, szükség esetén egyéni korrepetálás, a különböző mérések eredményeinek megtartása, javítása, egyéni és csoportos versenyzési kedv fokozása, a versenyzés etikáját szem előtt tartva, a kiemelkedő tehetségek gond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ozása, fejlesztése, a pályázatok fokozott figyelése.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célokat szem előtt tartva végeztük egész évben feladatunkat. Differenciáltan foglalkozott valamennyi kolléga a tanulókkal, rendszeresen indítottuk tanulóinkat versenyeken. Kiemelt célunk volt tanulóin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tudásszintjének fejlesztése és a tehetséges tanulók versenyhelyzetekhez való szoktatása, illetve a gyengébb tanulók felzárkóztatása, sikerélményekhez juttatása.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Ebben a tanévben minden eddiginél több versenyeredmény (köztük országos eredmények) születet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DC7F88" w:rsidRDefault="00DC7F88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2.4.1 Tanulmányi területek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Az iskolánkban tanuló diákok a következő tanulmányi terület valamelyikén folytatják tanulmányaikat:</w:t>
      </w:r>
    </w:p>
    <w:p w:rsidR="00DC7F88" w:rsidRDefault="008341A9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német nyelvoktató nemzetiségi nevelés-oktatás</w:t>
      </w:r>
    </w:p>
    <w:p w:rsidR="00DC7F88" w:rsidRDefault="008341A9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angol nyelvi tagozat</w:t>
      </w:r>
    </w:p>
    <w:p w:rsidR="00DC7F88" w:rsidRDefault="008341A9">
      <w:pPr>
        <w:numPr>
          <w:ilvl w:val="0"/>
          <w:numId w:val="7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média tagozat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>Intézményünkbe való jelentkezés feltétele minden évben a központi írásbeli felvételi vizsga megírása matematika és magyar nyelv tantárgyakból. A felvételizők iskolánkat is választhatják a központi felvételi dolgozatok megírásának helyszíneként.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 következ</w:t>
      </w:r>
      <w:r>
        <w:rPr>
          <w:rFonts w:ascii="Times New Roman" w:eastAsia="Times New Roman" w:hAnsi="Times New Roman" w:cs="Times New Roman"/>
          <w:sz w:val="24"/>
          <w:szCs w:val="24"/>
        </w:rPr>
        <w:t>ő tanévre meghirdettük a honvéd kadét közismereti képzés, amely képzés el is indul a 2024-2025-ös tanévben a Magyar Honvédséggel együttműködésben.</w:t>
      </w:r>
    </w:p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6AA84F"/>
          <w:sz w:val="24"/>
          <w:szCs w:val="24"/>
        </w:rPr>
      </w:pP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2.4.2 Tanulmányi eredmények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Osztályátlagok:</w:t>
      </w: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DC7F88"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osztály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2.a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2.b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3.a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3.b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4.a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4.b</w:t>
            </w:r>
          </w:p>
        </w:tc>
      </w:tr>
      <w:tr w:rsidR="00DC7F88"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átlag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4,86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4,67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4,58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4,75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4,72</w:t>
            </w:r>
          </w:p>
        </w:tc>
      </w:tr>
    </w:tbl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820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</w:tblGrid>
      <w:tr w:rsidR="00DC7F88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osztály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5.a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5.b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6.a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6.b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7.a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7.c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8.a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8.b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8.c</w:t>
            </w:r>
          </w:p>
        </w:tc>
      </w:tr>
      <w:tr w:rsidR="00DC7F88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átlag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4,63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4,52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4,79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4,36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4,47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4,51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4,33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4,44</w:t>
            </w:r>
          </w:p>
        </w:tc>
        <w:tc>
          <w:tcPr>
            <w:tcW w:w="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4,41</w:t>
            </w:r>
          </w:p>
        </w:tc>
      </w:tr>
    </w:tbl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4"/>
        <w:gridCol w:w="1505"/>
        <w:gridCol w:w="1505"/>
        <w:gridCol w:w="1505"/>
        <w:gridCol w:w="1505"/>
        <w:gridCol w:w="1505"/>
      </w:tblGrid>
      <w:tr w:rsidR="00DC7F88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osztály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9.a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9.b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10.a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11.a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12.a</w:t>
            </w:r>
          </w:p>
        </w:tc>
      </w:tr>
      <w:tr w:rsidR="00DC7F88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átlag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3,77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4,09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3,77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4,36</w:t>
            </w:r>
          </w:p>
        </w:tc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4,32</w:t>
            </w:r>
          </w:p>
        </w:tc>
      </w:tr>
    </w:tbl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Tantárgyi átlagok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Alsó tagozat</w:t>
      </w:r>
    </w:p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</w:p>
    <w:tbl>
      <w:tblPr>
        <w:tblStyle w:val="a2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0"/>
        <w:gridCol w:w="1036"/>
        <w:gridCol w:w="1036"/>
        <w:gridCol w:w="1036"/>
        <w:gridCol w:w="1036"/>
        <w:gridCol w:w="1036"/>
        <w:gridCol w:w="1036"/>
        <w:gridCol w:w="1059"/>
      </w:tblGrid>
      <w:tr w:rsidR="00DC7F88">
        <w:trPr>
          <w:trHeight w:val="450"/>
        </w:trPr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2.a</w:t>
            </w:r>
          </w:p>
        </w:tc>
        <w:tc>
          <w:tcPr>
            <w:tcW w:w="103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2.b</w:t>
            </w:r>
          </w:p>
        </w:tc>
        <w:tc>
          <w:tcPr>
            <w:tcW w:w="103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3.a</w:t>
            </w:r>
          </w:p>
        </w:tc>
        <w:tc>
          <w:tcPr>
            <w:tcW w:w="103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3.b</w:t>
            </w:r>
          </w:p>
        </w:tc>
        <w:tc>
          <w:tcPr>
            <w:tcW w:w="103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4.a</w:t>
            </w:r>
          </w:p>
        </w:tc>
        <w:tc>
          <w:tcPr>
            <w:tcW w:w="103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4.b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átlag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Magyar irodalom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4,51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Magyar nyelvtan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4.62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4,38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Matematika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4,34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Digitális kultúra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4,93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Környezetismeret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4,24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Angol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4,64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Német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4,86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Ének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4,94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Vizuális kultúra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4,95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Technika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4,96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Testnevelés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4,98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Katolikus hittan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4,77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Ref. hittan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4,66</w:t>
            </w:r>
          </w:p>
        </w:tc>
      </w:tr>
      <w:tr w:rsidR="00DC7F88">
        <w:trPr>
          <w:trHeight w:val="450"/>
        </w:trPr>
        <w:tc>
          <w:tcPr>
            <w:tcW w:w="1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Ev. hittan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</w:tr>
    </w:tbl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B5394"/>
        </w:rPr>
      </w:pP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B5394"/>
        </w:rPr>
      </w:pPr>
      <w:r>
        <w:br w:type="page"/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Felső tagozat:</w:t>
      </w:r>
    </w:p>
    <w:tbl>
      <w:tblPr>
        <w:tblStyle w:val="a3"/>
        <w:tblW w:w="84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630"/>
        <w:gridCol w:w="660"/>
        <w:gridCol w:w="675"/>
        <w:gridCol w:w="675"/>
        <w:gridCol w:w="675"/>
        <w:gridCol w:w="675"/>
        <w:gridCol w:w="675"/>
        <w:gridCol w:w="675"/>
        <w:gridCol w:w="675"/>
        <w:gridCol w:w="690"/>
      </w:tblGrid>
      <w:tr w:rsidR="00DC7F88">
        <w:trPr>
          <w:trHeight w:val="39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5.a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5.b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6.a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6.b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7.a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7.c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8.a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8.b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8.c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átlag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Magyar irodalom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4,52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Magyar nyelvtan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4,16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Történelem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4,21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Hon-és népismeret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Matematika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3,83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Digitális kultúra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4,97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Természet- tudomány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4,55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Angol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4,39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Német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4,37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Fizika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3,53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3,39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Biológia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4,23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Kémia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4,02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Földrajz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4,41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Ének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4,85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Vizuális kultúra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4,71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Technika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4,91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Testnevelés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4,78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Katolikus hittan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4,67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Ref. hittan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DC7F88">
        <w:trPr>
          <w:trHeight w:val="390"/>
        </w:trPr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Ev. hittan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</w:tr>
    </w:tbl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B5394"/>
        </w:rPr>
      </w:pP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0B5394"/>
        </w:rPr>
      </w:pPr>
      <w:r>
        <w:br w:type="page"/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Gimnázium:</w:t>
      </w:r>
    </w:p>
    <w:tbl>
      <w:tblPr>
        <w:tblStyle w:val="a4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65"/>
        <w:gridCol w:w="1051"/>
        <w:gridCol w:w="1050"/>
        <w:gridCol w:w="1050"/>
        <w:gridCol w:w="1050"/>
        <w:gridCol w:w="1050"/>
        <w:gridCol w:w="1109"/>
      </w:tblGrid>
      <w:tr w:rsidR="00DC7F88">
        <w:trPr>
          <w:trHeight w:val="450"/>
        </w:trPr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9.a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9.b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10.a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11.a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12.a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átlag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Magyar irodalom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3,23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3,81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3,39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Magyar nyelvtan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3,27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3,44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3,45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Dráma és színház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Történelem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4,03</w:t>
            </w:r>
          </w:p>
        </w:tc>
      </w:tr>
      <w:tr w:rsidR="00DC7F88">
        <w:trPr>
          <w:trHeight w:val="66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Állampolgári ismeretek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4,88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Német népismeret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4,93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4,86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4,89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Matematika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3,18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3,27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Angol H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4,12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Angol 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3,94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Német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4,19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Német 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3,94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Fizika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5,00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3,89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Biológia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3,94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4,29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Kémia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3,41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3,96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2,91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3,59</w:t>
            </w:r>
          </w:p>
        </w:tc>
      </w:tr>
      <w:tr w:rsidR="00DC7F88">
        <w:trPr>
          <w:trHeight w:val="450"/>
        </w:trPr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Földrajz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3,70</w:t>
            </w:r>
          </w:p>
        </w:tc>
      </w:tr>
    </w:tbl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6AA84F"/>
          <w:sz w:val="24"/>
          <w:szCs w:val="24"/>
        </w:rPr>
      </w:pPr>
    </w:p>
    <w:p w:rsidR="00DC7F88" w:rsidRDefault="00DC7F8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  <w:r>
        <w:br w:type="page"/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lastRenderedPageBreak/>
        <w:t>2.4.3 Érettségi eredmények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Nagy kihívása volt a tanévnek végzős diákjaink érettségire való felkészítése. Az érettségizők számára az órarendi órákon túl egyéni és kicsoportos fakultatív konzultációkat tartottunk online és jelenléti formában. A diákok ezzel a lehetőséggel nagy számban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élnek. Ennek szembetűnő eredménye, hogy ismét szép érettségi eredmények születtek mind közép, mind emelt szinten:</w:t>
      </w:r>
    </w:p>
    <w:p w:rsidR="00DC7F88" w:rsidRDefault="00DC7F8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Érettségi eredmények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</w:p>
    <w:tbl>
      <w:tblPr>
        <w:tblStyle w:val="a5"/>
        <w:tblW w:w="76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0"/>
        <w:gridCol w:w="1980"/>
        <w:gridCol w:w="2265"/>
        <w:gridCol w:w="1380"/>
      </w:tblGrid>
      <w:tr w:rsidR="00DC7F88">
        <w:trPr>
          <w:trHeight w:val="61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Vizsgatárgy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Szint</w:t>
            </w:r>
          </w:p>
        </w:tc>
        <w:tc>
          <w:tcPr>
            <w:tcW w:w="2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Jelentkezők (fő)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Átlag</w:t>
            </w:r>
          </w:p>
        </w:tc>
      </w:tr>
      <w:tr w:rsidR="00DC7F88">
        <w:trPr>
          <w:trHeight w:val="390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magyar nyelv és irodalom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4,18</w:t>
            </w:r>
          </w:p>
        </w:tc>
      </w:tr>
      <w:tr w:rsidR="00DC7F88">
        <w:trPr>
          <w:trHeight w:val="390"/>
        </w:trPr>
        <w:tc>
          <w:tcPr>
            <w:tcW w:w="1980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matematika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3,17</w:t>
            </w:r>
          </w:p>
        </w:tc>
      </w:tr>
      <w:tr w:rsidR="00DC7F88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emelt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4,67</w:t>
            </w:r>
          </w:p>
        </w:tc>
      </w:tr>
      <w:tr w:rsidR="00DC7F88">
        <w:trPr>
          <w:trHeight w:val="390"/>
        </w:trPr>
        <w:tc>
          <w:tcPr>
            <w:tcW w:w="1980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történelem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4,00</w:t>
            </w:r>
          </w:p>
        </w:tc>
      </w:tr>
      <w:tr w:rsidR="00DC7F88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DC7F8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B5394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emelt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4,33</w:t>
            </w:r>
          </w:p>
        </w:tc>
      </w:tr>
      <w:tr w:rsidR="00DC7F88">
        <w:trPr>
          <w:trHeight w:val="390"/>
        </w:trPr>
        <w:tc>
          <w:tcPr>
            <w:tcW w:w="1980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angol nyelv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4,77</w:t>
            </w:r>
          </w:p>
        </w:tc>
      </w:tr>
      <w:tr w:rsidR="00DC7F88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DC7F8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B5394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emelt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5,00</w:t>
            </w:r>
          </w:p>
        </w:tc>
      </w:tr>
      <w:tr w:rsidR="00DC7F88">
        <w:trPr>
          <w:trHeight w:val="630"/>
        </w:trPr>
        <w:tc>
          <w:tcPr>
            <w:tcW w:w="1980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német nyelv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4,44</w:t>
            </w:r>
          </w:p>
        </w:tc>
      </w:tr>
      <w:tr w:rsidR="00DC7F88">
        <w:trPr>
          <w:trHeight w:val="630"/>
        </w:trPr>
        <w:tc>
          <w:tcPr>
            <w:tcW w:w="198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emelt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5,00</w:t>
            </w:r>
          </w:p>
        </w:tc>
      </w:tr>
      <w:tr w:rsidR="00DC7F88">
        <w:trPr>
          <w:trHeight w:val="390"/>
        </w:trPr>
        <w:tc>
          <w:tcPr>
            <w:tcW w:w="1980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biológia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5,00</w:t>
            </w:r>
          </w:p>
        </w:tc>
      </w:tr>
      <w:tr w:rsidR="00DC7F88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emelt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4,00</w:t>
            </w:r>
          </w:p>
        </w:tc>
      </w:tr>
      <w:tr w:rsidR="00DC7F88">
        <w:trPr>
          <w:trHeight w:val="390"/>
        </w:trPr>
        <w:tc>
          <w:tcPr>
            <w:tcW w:w="19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földrajz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4,27</w:t>
            </w:r>
          </w:p>
        </w:tc>
      </w:tr>
      <w:tr w:rsidR="00DC7F88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DC7F8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emelt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3,00</w:t>
            </w:r>
          </w:p>
        </w:tc>
      </w:tr>
      <w:tr w:rsidR="00DC7F88">
        <w:trPr>
          <w:trHeight w:val="390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fizika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5,00</w:t>
            </w:r>
          </w:p>
        </w:tc>
      </w:tr>
      <w:tr w:rsidR="00DC7F88">
        <w:trPr>
          <w:trHeight w:val="330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digitális kultúra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3,13</w:t>
            </w:r>
          </w:p>
        </w:tc>
      </w:tr>
      <w:tr w:rsidR="00DC7F88">
        <w:trPr>
          <w:trHeight w:val="330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vizuális kultúra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5,00</w:t>
            </w:r>
          </w:p>
        </w:tc>
      </w:tr>
      <w:tr w:rsidR="00DC7F88">
        <w:trPr>
          <w:trHeight w:val="330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katolikus hittan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közép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F88" w:rsidRDefault="008341A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4,75</w:t>
            </w:r>
          </w:p>
        </w:tc>
      </w:tr>
    </w:tbl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2.4.4 Nyelvoktatás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Prioritást kap intézményünkben az idegen nyelvi képzés, ezért is választható tagozati képzés formájában mind az angol, mind a német nyelv. Diákjaink az első választott idegen nyelvüket heti 7, a másodikat pedig heti 3 órában tanulják.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Egyik kiemelt oktatás</w:t>
      </w:r>
      <w:r>
        <w:rPr>
          <w:rFonts w:ascii="Times New Roman" w:eastAsia="Times New Roman" w:hAnsi="Times New Roman" w:cs="Times New Roman"/>
          <w:sz w:val="24"/>
          <w:szCs w:val="24"/>
        </w:rPr>
        <w:t>i célunk az eredményes emelt szintű érettségikre és a nyelvvizsgára való felkészítés. Köszönhetően a magas óraszámoknak minden évben, így a 2023/2024-es tanévben is 11-es diákjaink többsége előrehozott érettségit tett az első idegen nyelvéből, így a követk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ező tanév folyamán vagy szintemelő vizsgát tesz az emelt szintű érettségihez, vagy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nyelvvizsgázik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de több esetben előfordul, hogy tagozatváltással a második idegen nyelvből is tesz érettségi vizsgát.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2.5 Pályázatok</w:t>
      </w:r>
    </w:p>
    <w:p w:rsidR="00DC7F88" w:rsidRDefault="008341A9">
      <w:pPr>
        <w:widowControl w:val="0"/>
        <w:spacing w:before="24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tanév során több pályázattal is igyek</w:t>
      </w:r>
      <w:r>
        <w:rPr>
          <w:rFonts w:ascii="Times New Roman" w:eastAsia="Times New Roman" w:hAnsi="Times New Roman" w:cs="Times New Roman"/>
          <w:sz w:val="24"/>
          <w:szCs w:val="24"/>
        </w:rPr>
        <w:t>eztünk segíteni, kiegészíteni az iskolánkban folyó oktató-nevelő munkát, mind a szakmai, mind a szabadidős tevékenységek tekintetében.</w:t>
      </w:r>
    </w:p>
    <w:p w:rsidR="00DC7F88" w:rsidRDefault="008341A9">
      <w:pPr>
        <w:widowControl w:val="0"/>
        <w:spacing w:before="24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Az iskolánkban működő szakkörök közül az idei tanévben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kerámia,-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és a médiaszakkörünk működését tudtuk támogatni, mind </w:t>
      </w:r>
      <w:r>
        <w:rPr>
          <w:rFonts w:ascii="Times New Roman" w:eastAsia="Times New Roman" w:hAnsi="Times New Roman" w:cs="Times New Roman"/>
          <w:sz w:val="24"/>
          <w:szCs w:val="24"/>
        </w:rPr>
        <w:t>eszközök, mind pedig  alapanyagok vásárlásával, valamint szakemberek biztosításával.</w:t>
      </w:r>
    </w:p>
    <w:p w:rsidR="00DC7F88" w:rsidRDefault="008341A9">
      <w:pPr>
        <w:widowControl w:val="0"/>
        <w:spacing w:before="24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Határtalanul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pályázatok révén 7. osztályos tanulóink a Felvidékre látogathattak el, ezzel is segítve az országhatárainkon túl élő magyarsággal kapcsolatos ismereteik elm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élyítését, azok bővítését.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Határtalanul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pályázat kiírása gimnazisták számára nem történt ugyan, de a támogató szülői háttérnek köszönhetően gimnazistáink idén is eljutottak hagyomány szerint Erdélybe, a csíksomlyói búcsúra.</w:t>
      </w:r>
    </w:p>
    <w:p w:rsidR="00DC7F88" w:rsidRDefault="008341A9">
      <w:pPr>
        <w:widowControl w:val="0"/>
        <w:spacing w:before="24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Több kisfilmből álló sorozatot k</w:t>
      </w:r>
      <w:r>
        <w:rPr>
          <w:rFonts w:ascii="Times New Roman" w:eastAsia="Times New Roman" w:hAnsi="Times New Roman" w:cs="Times New Roman"/>
          <w:sz w:val="24"/>
          <w:szCs w:val="24"/>
        </w:rPr>
        <w:t>észítettünk az iskola mindennapjainak, ünnepeinek, valamint a hitéleti munkánkat nagyban segítő lelkipásztoraink bemutatása céljából, szintén pályázati forrásból.</w:t>
      </w:r>
    </w:p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pStyle w:val="Cmsor2"/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10" w:name="_a7jtdu9kzdrb" w:colFirst="0" w:colLast="0"/>
      <w:bookmarkEnd w:id="10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lastRenderedPageBreak/>
        <w:t>2.6 Közösségi célok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piarista emberképből kiindulva a társas-érzelmi oldalról egyaránt font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 mind a nevelői testület mind a tanulóifjúság közösségi érzékenyítése. Erre szolgál többek között iskolánkban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rekollekciók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rendszere. Ünnepeink előtt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máriakálnoki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zarándoklat, a rendalapító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Kalazanci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Szent József ünnepe, karácsony, hamvazószerda, ball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agás) 2-3 tanórát érintő, illetve nagyhét előtt 2 napos lelkigyakorlaton vettek részt diákjaink, amely napokat vagy az iskolában töltötték, vagy külső helyszínre utaztak. 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tantestület lelkigyakorlatára ebben a tanévben két alkalommal is sor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került: 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minden tanévben, idén is augusztus utolsó napjaiban vett részt a tantestület egy tanévkezdő lelkigyakorlaton Hegyeshalomban, emellett decemberben is sor került egy tantestületi adventi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lelkigyakolatra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Közösségi és egyben pedagógiai céljainkat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szolgált</w:t>
      </w:r>
      <w:r>
        <w:rPr>
          <w:rFonts w:ascii="Times New Roman" w:eastAsia="Times New Roman" w:hAnsi="Times New Roman" w:cs="Times New Roman"/>
          <w:sz w:val="24"/>
          <w:szCs w:val="24"/>
        </w:rPr>
        <w:t>ák  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színvonalas osztálykirándulások és táborok.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tanulók szociális helyzetét, a problémák időben történő feltárását, a segítségnyújtást az osztályfőnökök végezték (személyes elbeszélgetéssel és különböző osztályprogramokhoz kapcsolódó pedagógus-szülő ta</w:t>
      </w:r>
      <w:r>
        <w:rPr>
          <w:rFonts w:ascii="Times New Roman" w:eastAsia="Times New Roman" w:hAnsi="Times New Roman" w:cs="Times New Roman"/>
          <w:sz w:val="24"/>
          <w:szCs w:val="24"/>
        </w:rPr>
        <w:t>lálkozókon). Problémás gyerekek szüleivel szorosabb kapcsolat kiépítésére törekedtünk. Az osztályfőnökök a tanulók érdekében munkájukat összehangoltan látták el a szülőkkel és a kollégákkal, különös tekintettel az iskolapszichológusra és az iskolai szociál</w:t>
      </w:r>
      <w:r>
        <w:rPr>
          <w:rFonts w:ascii="Times New Roman" w:eastAsia="Times New Roman" w:hAnsi="Times New Roman" w:cs="Times New Roman"/>
          <w:sz w:val="24"/>
          <w:szCs w:val="24"/>
        </w:rPr>
        <w:t>is munkásra.</w:t>
      </w: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2.7    Szervezet- és munkatársi fejlesztési célok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99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Az iskolánkat nehéz elképzelni úgy,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hogy  abban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nem a pedagógusok a siker meghatározói. Az intézmény gondoskodik arról, hogy a kollégák olyan megfelelő kompetenciákkal rendelkezzenek és 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zek fejlesztésében is részesüljenek, amely hivatásuk sikeres megéléséhez vezet. Szükség van folyamatos átalakulásra, alkalmazkodásra, ezért kiemelten fontos a munkatársak képzése, fejlesztése, motiválása. 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 tanév előírása volt idén is, hogy a munkakö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zösség-vezetők minden munkaközösség-béli kollégájuknál látogassanak egy-egy tanórát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félévente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illetve minden pedagógus kolléga tegyen egy tetszőleges kollégájánál óralátogatást. Nagyon fontos tanulási alkalmak voltak ezek. Ezt a tervet maradéktalanul nem,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többé-kevésbé sikerült teljesíteni. 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Ebben a tanévben prioritás volt a tantestület közösségének megerősítése. A visszajelzések alapján elmondható, hogy a különböző programoknak (tantestületi kirándulás,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közös evezés, jótékonysági bál, kötetlen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beszélg</w:t>
      </w:r>
      <w:r>
        <w:rPr>
          <w:rFonts w:ascii="Times New Roman" w:eastAsia="Times New Roman" w:hAnsi="Times New Roman" w:cs="Times New Roman"/>
          <w:sz w:val="24"/>
          <w:szCs w:val="24"/>
        </w:rPr>
        <w:t>etős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együttlét, élő betlehem megvalósítása, közös fellépés adventben) köszönhetően tovább erősödött a kohézió a tantestületben. Különösen a kisközösségek létrehozását, megerősítését tűztük ki célul, így jött létre például a tanári kórus. </w:t>
      </w:r>
    </w:p>
    <w:p w:rsidR="00DC7F88" w:rsidRDefault="00DC7F88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2.8 Az általános</w:t>
      </w: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 xml:space="preserve"> pedagógiai tevékenység ellenőrzése</w:t>
      </w:r>
    </w:p>
    <w:p w:rsidR="00DC7F88" w:rsidRDefault="008341A9">
      <w:pPr>
        <w:pStyle w:val="Cmsor2"/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1y810tw" w:colFirst="0" w:colLast="0"/>
      <w:bookmarkEnd w:id="11"/>
      <w:r>
        <w:rPr>
          <w:rFonts w:ascii="Times New Roman" w:eastAsia="Times New Roman" w:hAnsi="Times New Roman" w:cs="Times New Roman"/>
          <w:sz w:val="24"/>
          <w:szCs w:val="24"/>
        </w:rPr>
        <w:tab/>
        <w:t>Az iskola vezetősége és a munkaközösség-vezetők ellenőrző munkája a következőkre terjedt ki:</w:t>
      </w:r>
    </w:p>
    <w:p w:rsidR="00DC7F88" w:rsidRDefault="008341A9">
      <w:pPr>
        <w:pStyle w:val="Cmsor2"/>
        <w:numPr>
          <w:ilvl w:val="0"/>
          <w:numId w:val="3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1r1ieqj6fyi0" w:colFirst="0" w:colLast="0"/>
      <w:bookmarkEnd w:id="12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Tanmenetek, munkatervek, szakmai programok ellenőrzése.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kollégák a tanmeneteket szeptember 30-ai határidővel készítették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el,  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munkaközösség-vezetők a tanév elején éves tervet, tanév végén pedig éves beszámolót készítettek.</w:t>
      </w:r>
    </w:p>
    <w:p w:rsidR="00DC7F88" w:rsidRDefault="008341A9">
      <w:pPr>
        <w:pStyle w:val="Cmsor2"/>
        <w:numPr>
          <w:ilvl w:val="0"/>
          <w:numId w:val="3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4i7ojhp" w:colFirst="0" w:colLast="0"/>
      <w:bookmarkEnd w:id="13"/>
      <w:r>
        <w:rPr>
          <w:rFonts w:ascii="Times New Roman" w:eastAsia="Times New Roman" w:hAnsi="Times New Roman" w:cs="Times New Roman"/>
          <w:b/>
          <w:sz w:val="24"/>
          <w:szCs w:val="24"/>
        </w:rPr>
        <w:t>Naplók adatai, naplóvezetés (elektronikus).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Az elektronikus napló vezetése a szaktaná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rok részéről folyamatos volt, az igazgatóhelyettesek részéről az ellenőrzés szintúgy. A napló heti zárása megkívánta a szakórák folyamatos beírását és a hiányzók precíz vezetését az osztályfőnökök részéről. </w:t>
      </w:r>
    </w:p>
    <w:p w:rsidR="00DC7F88" w:rsidRDefault="008341A9">
      <w:pPr>
        <w:pStyle w:val="Cmsor2"/>
        <w:numPr>
          <w:ilvl w:val="0"/>
          <w:numId w:val="3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2xcytpi" w:colFirst="0" w:colLast="0"/>
      <w:bookmarkEnd w:id="14"/>
      <w:r>
        <w:rPr>
          <w:rFonts w:ascii="Times New Roman" w:eastAsia="Times New Roman" w:hAnsi="Times New Roman" w:cs="Times New Roman"/>
          <w:b/>
          <w:sz w:val="24"/>
          <w:szCs w:val="24"/>
        </w:rPr>
        <w:t>A tanulók értékelésének gyakorisága.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Az igazgató</w:t>
      </w:r>
      <w:r>
        <w:rPr>
          <w:rFonts w:ascii="Times New Roman" w:eastAsia="Times New Roman" w:hAnsi="Times New Roman" w:cs="Times New Roman"/>
          <w:sz w:val="24"/>
          <w:szCs w:val="24"/>
        </w:rPr>
        <w:t>helyettesek rendszeresen ellenőrizték, hogy a diákok kellő gyakorisággal kaptak-e visszajelzést a munkájukról. Az irányadó minimum érdemjegy-szám: a heti óraszámnak megfelelő havi osztályzat. Iskolánkban a félévi és év végi lezárások mellett I. és III. neg</w:t>
      </w:r>
      <w:r>
        <w:rPr>
          <w:rFonts w:ascii="Times New Roman" w:eastAsia="Times New Roman" w:hAnsi="Times New Roman" w:cs="Times New Roman"/>
          <w:sz w:val="24"/>
          <w:szCs w:val="24"/>
        </w:rPr>
        <w:t>yedévi értékelések is rendszeresek: november és március hónapban.</w:t>
      </w:r>
    </w:p>
    <w:p w:rsidR="00DC7F88" w:rsidRDefault="008341A9">
      <w:pPr>
        <w:pStyle w:val="Cmsor2"/>
        <w:numPr>
          <w:ilvl w:val="0"/>
          <w:numId w:val="3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1ci93xb" w:colFirst="0" w:colLast="0"/>
      <w:bookmarkEnd w:id="15"/>
      <w:r>
        <w:rPr>
          <w:rFonts w:ascii="Times New Roman" w:eastAsia="Times New Roman" w:hAnsi="Times New Roman" w:cs="Times New Roman"/>
          <w:b/>
          <w:sz w:val="24"/>
          <w:szCs w:val="24"/>
        </w:rPr>
        <w:t>A diákok fegyelme, viselkedéskultúrája.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Elsősorban az osztályfőnökök, de mellettük a szaktanárok és az iskolavezetés is fegyelmező erővel lép fel a házirend betartatása mellett.</w:t>
      </w:r>
    </w:p>
    <w:p w:rsidR="00DC7F88" w:rsidRDefault="00DC7F88">
      <w:pPr>
        <w:pStyle w:val="Cmsor2"/>
        <w:spacing w:before="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vxf4n7lgk7sj" w:colFirst="0" w:colLast="0"/>
      <w:bookmarkEnd w:id="16"/>
    </w:p>
    <w:p w:rsidR="00DC7F88" w:rsidRDefault="008341A9">
      <w:pPr>
        <w:pStyle w:val="Cmsor2"/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17" w:name="_py0y8olkledl" w:colFirst="0" w:colLast="0"/>
      <w:bookmarkEnd w:id="17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3.1. Szervezetünk</w:t>
      </w:r>
    </w:p>
    <w:p w:rsidR="00DC7F88" w:rsidRDefault="008341A9">
      <w:pPr>
        <w:pStyle w:val="Cmsor3"/>
        <w:spacing w:before="0" w:after="240" w:line="360" w:lineRule="auto"/>
        <w:rPr>
          <w:rFonts w:ascii="Times New Roman" w:eastAsia="Times New Roman" w:hAnsi="Times New Roman" w:cs="Times New Roman"/>
          <w:color w:val="17365D"/>
          <w:sz w:val="24"/>
          <w:szCs w:val="24"/>
        </w:rPr>
      </w:pPr>
      <w:bookmarkStart w:id="18" w:name="_1t3h5sf" w:colFirst="0" w:colLast="0"/>
      <w:bookmarkEnd w:id="18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3.1.1. Az intézményi szervezeti struktúra bemutatása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Intézményünkhöz tagintézményként tartozik a 8 általános iskolai osztállyal bíró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hédervári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Timaffy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László Tagiskola és a szintén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hédervári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Napsugár Tagóvoda. A mosonmagyaróvári anyainté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zmény illetve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hédervári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tagintézmény között van néhány közös tanár, akik mindkét iskolában vállalnak órákat.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Az iskola vezetői csapatának az összetétele a következő: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igazgató, 2024. januárjától főigazgató (Nyerges-Zombó Katalin)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gazdasági vezető (Deák A</w:t>
      </w:r>
      <w:r>
        <w:rPr>
          <w:rFonts w:ascii="Times New Roman" w:eastAsia="Times New Roman" w:hAnsi="Times New Roman" w:cs="Times New Roman"/>
          <w:sz w:val="24"/>
          <w:szCs w:val="24"/>
        </w:rPr>
        <w:t>ndrea)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tanügyekért felelős oktatási igazgatóhelyettes (Ördögné Sipőcz Veronika)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általános iskolai és pedagógiai ügyekért felelős igazgatóhelyettes (Németh-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Leszkovich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Katalin)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hosszútávú tervezésért felelős stratégiai igazgatóhelyettes (Horváth Gábor)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paszt</w:t>
      </w:r>
      <w:r>
        <w:rPr>
          <w:rFonts w:ascii="Times New Roman" w:eastAsia="Times New Roman" w:hAnsi="Times New Roman" w:cs="Times New Roman"/>
          <w:sz w:val="24"/>
          <w:szCs w:val="24"/>
        </w:rPr>
        <w:t>orális vezető (Czeglédi Zsolt)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műszaki koordinátor (Albert József)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hédervári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iskola tagintézményvezetője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Seresné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Domina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Teréz)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hédervári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tagóvoda vezetője (Tóthné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Göndöcs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Annamária)</w:t>
      </w:r>
    </w:p>
    <w:p w:rsidR="00DC7F88" w:rsidRDefault="008341A9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munkaközösség-vezetők:</w:t>
      </w:r>
    </w:p>
    <w:p w:rsidR="00DC7F88" w:rsidRDefault="008341A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Tanítói munkaközösség: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Tirpákné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Illés Eszter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Reál munkaközösség: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Tóth-Sánta Renáta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Humán munkaközösség: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Erdősné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Benke Éva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Idegen nyelvi: munkaközösség: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Molnár Zsuzsanna</w:t>
      </w:r>
    </w:p>
    <w:p w:rsidR="00DC7F88" w:rsidRDefault="008341A9">
      <w:pPr>
        <w:spacing w:line="360" w:lineRule="auto"/>
        <w:ind w:left="7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Testnevelés: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Cséfalvay Attila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Osztályfőnöki munkaközösség: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Nyerges-Zombó Katalin</w:t>
      </w:r>
    </w:p>
    <w:p w:rsidR="00DC7F88" w:rsidRDefault="00DC7F88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Az iskola működése az alábbi ábrán lá</w:t>
      </w:r>
      <w:r>
        <w:rPr>
          <w:rFonts w:ascii="Times New Roman" w:eastAsia="Times New Roman" w:hAnsi="Times New Roman" w:cs="Times New Roman"/>
          <w:sz w:val="24"/>
          <w:szCs w:val="24"/>
        </w:rPr>
        <w:t>tható:</w:t>
      </w:r>
    </w:p>
    <w:p w:rsidR="00DC7F88" w:rsidRDefault="008341A9">
      <w:pPr>
        <w:pStyle w:val="Cmsor2"/>
        <w:spacing w:before="0" w:after="24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tyjcwt" w:colFirst="0" w:colLast="0"/>
      <w:bookmarkEnd w:id="19"/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114300" distB="114300" distL="114300" distR="114300">
            <wp:extent cx="5298988" cy="8062913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8988" cy="8062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7F88" w:rsidRDefault="00DC7F88">
      <w:pPr>
        <w:pStyle w:val="Cmsor3"/>
        <w:spacing w:before="0" w:after="240" w:line="360" w:lineRule="auto"/>
        <w:rPr>
          <w:rFonts w:ascii="Times New Roman" w:eastAsia="Times New Roman" w:hAnsi="Times New Roman" w:cs="Times New Roman"/>
          <w:i/>
          <w:color w:val="FF00FF"/>
          <w:sz w:val="24"/>
          <w:szCs w:val="24"/>
        </w:rPr>
      </w:pPr>
      <w:bookmarkStart w:id="20" w:name="_o2mabcoilxw3" w:colFirst="0" w:colLast="0"/>
      <w:bookmarkEnd w:id="20"/>
    </w:p>
    <w:p w:rsidR="00DC7F88" w:rsidRDefault="00DC7F88">
      <w:pPr>
        <w:pStyle w:val="Cmsor3"/>
        <w:spacing w:before="0" w:after="240" w:line="360" w:lineRule="auto"/>
        <w:rPr>
          <w:rFonts w:ascii="Times New Roman" w:eastAsia="Times New Roman" w:hAnsi="Times New Roman" w:cs="Times New Roman"/>
          <w:i/>
          <w:color w:val="FF00FF"/>
          <w:sz w:val="24"/>
          <w:szCs w:val="24"/>
        </w:rPr>
      </w:pPr>
      <w:bookmarkStart w:id="21" w:name="_5p1p69uhjgxc" w:colFirst="0" w:colLast="0"/>
      <w:bookmarkEnd w:id="21"/>
    </w:p>
    <w:p w:rsidR="00DC7F88" w:rsidRDefault="008341A9">
      <w:pPr>
        <w:pStyle w:val="Cmsor3"/>
        <w:spacing w:before="0" w:after="240" w:line="360" w:lineRule="auto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bookmarkStart w:id="22" w:name="_4d34og8" w:colFirst="0" w:colLast="0"/>
      <w:bookmarkEnd w:id="22"/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3.1.2. Intézményi munkatársak, személyi feltételek</w:t>
      </w:r>
    </w:p>
    <w:p w:rsidR="00DC7F88" w:rsidRDefault="008341A9">
      <w:pPr>
        <w:pStyle w:val="Cmsor3"/>
        <w:spacing w:before="0" w:after="24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bookmarkStart w:id="23" w:name="_2s8eyo1" w:colFirst="0" w:colLast="0"/>
      <w:bookmarkEnd w:id="23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Pedagógusok: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</w:p>
    <w:p w:rsidR="00DC7F88" w:rsidRDefault="008341A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Teljes munkaidős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pedagógus:  44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fő</w:t>
      </w:r>
    </w:p>
    <w:p w:rsidR="00DC7F88" w:rsidRDefault="008341A9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Ebből határozott idejű szerződéssel: 0 fő</w:t>
      </w:r>
    </w:p>
    <w:p w:rsidR="00DC7F88" w:rsidRDefault="008341A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Részmunkaidős pedagógus: 8 fő</w:t>
      </w:r>
    </w:p>
    <w:p w:rsidR="00DC7F88" w:rsidRDefault="008341A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Ebből határozott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idejű:  fő</w:t>
      </w:r>
      <w:proofErr w:type="gramEnd"/>
    </w:p>
    <w:p w:rsidR="00DC7F88" w:rsidRDefault="008341A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Szerzetes: 4 fő</w:t>
      </w:r>
    </w:p>
    <w:p w:rsidR="00DC7F88" w:rsidRDefault="008341A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Óraadó: 18 fő</w:t>
      </w:r>
    </w:p>
    <w:p w:rsidR="00DC7F88" w:rsidRDefault="008341A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Pszichológus: 1 fő 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Osztályfőnökök: </w:t>
      </w:r>
    </w:p>
    <w:tbl>
      <w:tblPr>
        <w:tblStyle w:val="a6"/>
        <w:tblW w:w="76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0"/>
        <w:gridCol w:w="2829"/>
        <w:gridCol w:w="950"/>
        <w:gridCol w:w="2929"/>
      </w:tblGrid>
      <w:tr w:rsidR="00DC7F88">
        <w:trPr>
          <w:trHeight w:val="372"/>
        </w:trPr>
        <w:tc>
          <w:tcPr>
            <w:tcW w:w="950" w:type="dxa"/>
            <w:shd w:val="clear" w:color="auto" w:fill="FFE599"/>
            <w:vAlign w:val="center"/>
          </w:tcPr>
          <w:p w:rsidR="00DC7F88" w:rsidRDefault="008341A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Osztály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shd w:val="clear" w:color="auto" w:fill="FFE599"/>
            <w:vAlign w:val="center"/>
          </w:tcPr>
          <w:p w:rsidR="00DC7F88" w:rsidRDefault="008341A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Osztályfőnök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shd w:val="clear" w:color="auto" w:fill="FFE599"/>
            <w:vAlign w:val="center"/>
          </w:tcPr>
          <w:p w:rsidR="00DC7F88" w:rsidRDefault="008341A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Osztály</w:t>
            </w:r>
          </w:p>
        </w:tc>
        <w:tc>
          <w:tcPr>
            <w:tcW w:w="2929" w:type="dxa"/>
            <w:shd w:val="clear" w:color="auto" w:fill="FFE599"/>
            <w:vAlign w:val="center"/>
          </w:tcPr>
          <w:p w:rsidR="00DC7F88" w:rsidRDefault="008341A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Osztályfőnök</w:t>
            </w:r>
          </w:p>
        </w:tc>
      </w:tr>
      <w:tr w:rsidR="00DC7F88">
        <w:trPr>
          <w:trHeight w:val="624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1.a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Gyergyóiné</w:t>
            </w:r>
            <w:proofErr w:type="spellEnd"/>
            <w:r>
              <w:rPr>
                <w:sz w:val="24"/>
                <w:szCs w:val="24"/>
              </w:rPr>
              <w:t xml:space="preserve"> Csapó Judit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7.a</w:t>
            </w:r>
          </w:p>
        </w:tc>
        <w:tc>
          <w:tcPr>
            <w:tcW w:w="29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Horváth Gábor</w:t>
            </w:r>
          </w:p>
        </w:tc>
      </w:tr>
      <w:tr w:rsidR="00DC7F88">
        <w:trPr>
          <w:trHeight w:val="640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2.a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Tirpákné</w:t>
            </w:r>
            <w:proofErr w:type="spellEnd"/>
            <w:r>
              <w:rPr>
                <w:sz w:val="24"/>
                <w:szCs w:val="24"/>
              </w:rPr>
              <w:t xml:space="preserve"> Illés Eszter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7.c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Cséfalvay Attila</w:t>
            </w:r>
          </w:p>
        </w:tc>
      </w:tr>
      <w:tr w:rsidR="00DC7F88">
        <w:trPr>
          <w:trHeight w:val="639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2.b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Vági Orsolya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8.a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Erdősné</w:t>
            </w:r>
            <w:proofErr w:type="spellEnd"/>
            <w:r>
              <w:rPr>
                <w:sz w:val="24"/>
                <w:szCs w:val="24"/>
              </w:rPr>
              <w:t xml:space="preserve"> Benke Éva</w:t>
            </w:r>
          </w:p>
        </w:tc>
      </w:tr>
      <w:tr w:rsidR="00DC7F88">
        <w:trPr>
          <w:trHeight w:val="640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3.a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Schmalcz</w:t>
            </w:r>
            <w:proofErr w:type="spellEnd"/>
            <w:r>
              <w:rPr>
                <w:sz w:val="24"/>
                <w:szCs w:val="24"/>
              </w:rPr>
              <w:t xml:space="preserve"> Krisztina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8.b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Szitás László</w:t>
            </w:r>
          </w:p>
        </w:tc>
      </w:tr>
      <w:tr w:rsidR="00DC7F88">
        <w:trPr>
          <w:trHeight w:val="639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3.b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Sejlinger</w:t>
            </w:r>
            <w:proofErr w:type="spellEnd"/>
            <w:r>
              <w:rPr>
                <w:sz w:val="24"/>
                <w:szCs w:val="24"/>
              </w:rPr>
              <w:t xml:space="preserve"> Éva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8.c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Szakály Gabriella</w:t>
            </w:r>
          </w:p>
        </w:tc>
      </w:tr>
      <w:tr w:rsidR="00DC7F88">
        <w:trPr>
          <w:trHeight w:val="640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4.a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Barna Mária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9.a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Pozsgai Eszter</w:t>
            </w:r>
          </w:p>
        </w:tc>
      </w:tr>
      <w:tr w:rsidR="00DC7F88">
        <w:trPr>
          <w:trHeight w:val="639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4.b 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Török Róbertné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9.b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Tóth-Sánta Renáta</w:t>
            </w:r>
          </w:p>
        </w:tc>
      </w:tr>
      <w:tr w:rsidR="00DC7F88">
        <w:trPr>
          <w:trHeight w:val="640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5.a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Babos-</w:t>
            </w:r>
            <w:proofErr w:type="spellStart"/>
            <w:r>
              <w:rPr>
                <w:sz w:val="24"/>
                <w:szCs w:val="24"/>
              </w:rPr>
              <w:t>Zemplenszky</w:t>
            </w:r>
            <w:proofErr w:type="spellEnd"/>
            <w:r>
              <w:rPr>
                <w:sz w:val="24"/>
                <w:szCs w:val="24"/>
              </w:rPr>
              <w:t xml:space="preserve"> Nóra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10.a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Tóthné Ruzsa Irén</w:t>
            </w:r>
          </w:p>
        </w:tc>
      </w:tr>
      <w:tr w:rsidR="00DC7F88">
        <w:trPr>
          <w:trHeight w:val="639"/>
        </w:trPr>
        <w:tc>
          <w:tcPr>
            <w:tcW w:w="950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5.b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Németh-</w:t>
            </w:r>
            <w:proofErr w:type="spellStart"/>
            <w:r>
              <w:rPr>
                <w:sz w:val="24"/>
                <w:szCs w:val="24"/>
              </w:rPr>
              <w:t>Leszkovich</w:t>
            </w:r>
            <w:proofErr w:type="spellEnd"/>
            <w:r>
              <w:rPr>
                <w:sz w:val="24"/>
                <w:szCs w:val="24"/>
              </w:rPr>
              <w:t xml:space="preserve"> Katalin</w:t>
            </w:r>
          </w:p>
        </w:tc>
        <w:tc>
          <w:tcPr>
            <w:tcW w:w="950" w:type="dxa"/>
            <w:tcBorders>
              <w:lef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11.a</w:t>
            </w:r>
          </w:p>
        </w:tc>
        <w:tc>
          <w:tcPr>
            <w:tcW w:w="2929" w:type="dxa"/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Ördögné Sipőcz Veronika</w:t>
            </w:r>
          </w:p>
        </w:tc>
      </w:tr>
      <w:tr w:rsidR="00DC7F88">
        <w:trPr>
          <w:trHeight w:val="750"/>
        </w:trPr>
        <w:tc>
          <w:tcPr>
            <w:tcW w:w="950" w:type="dxa"/>
            <w:tcBorders>
              <w:bottom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6.a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Wagner Veronika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12.a</w:t>
            </w:r>
          </w:p>
        </w:tc>
        <w:tc>
          <w:tcPr>
            <w:tcW w:w="2929" w:type="dxa"/>
            <w:tcBorders>
              <w:bottom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Molnár Zsuzsanna</w:t>
            </w:r>
          </w:p>
        </w:tc>
      </w:tr>
      <w:tr w:rsidR="00DC7F88">
        <w:trPr>
          <w:trHeight w:val="639"/>
        </w:trPr>
        <w:tc>
          <w:tcPr>
            <w:tcW w:w="950" w:type="dxa"/>
            <w:tcBorders>
              <w:bottom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6.b</w:t>
            </w:r>
          </w:p>
        </w:tc>
        <w:tc>
          <w:tcPr>
            <w:tcW w:w="2829" w:type="dxa"/>
            <w:tcBorders>
              <w:right w:val="single" w:sz="4" w:space="0" w:color="000000"/>
            </w:tcBorders>
            <w:vAlign w:val="center"/>
          </w:tcPr>
          <w:p w:rsidR="00DC7F88" w:rsidRDefault="008341A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Mészáros Gabriella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7F88" w:rsidRDefault="00DC7F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C7F88" w:rsidRDefault="00DC7F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DC7F88" w:rsidRDefault="00DC7F88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Nevelő - oktató munkát segítő dolgozók: </w:t>
      </w:r>
    </w:p>
    <w:p w:rsidR="00DC7F88" w:rsidRDefault="00DC7F88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gyógypedagógus: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Virág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Könyvtáros: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Ignáczné Iváncsics Erika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Logopédus,</w:t>
      </w:r>
      <w:r>
        <w:rPr>
          <w:rFonts w:ascii="Times New Roman" w:eastAsia="Times New Roman" w:hAnsi="Times New Roman" w:cs="Times New Roman"/>
          <w:color w:val="FF00F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szomatopedagógus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gyógypedagógus: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Viktória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Iskolapszichológus: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Ambrus Éva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Iskolatitkár: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Nagyné Bolla Éva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Pályázati felelős: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Iváncsics Jánosné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Műszaki koordinátor, rendszergazda: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Albert József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Karbantartók: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Árpási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Csaba</w:t>
      </w:r>
    </w:p>
    <w:p w:rsidR="00DC7F88" w:rsidRDefault="008341A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Kiss Róbert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Portások: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Gulyás Gábor</w:t>
      </w:r>
    </w:p>
    <w:p w:rsidR="00DC7F88" w:rsidRDefault="008341A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Kovács Richárd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Takarítók Mosonmagyaróvár: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CC99FF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Kimleiné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Tercz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Erzsébet- teljes munkaidő</w:t>
      </w:r>
    </w:p>
    <w:p w:rsidR="00DC7F88" w:rsidRDefault="008341A9">
      <w:pPr>
        <w:shd w:val="clear" w:color="auto" w:fill="FFFFFF"/>
        <w:spacing w:line="36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Gálosiné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Érsek Ibolya - teljes munkaidő</w:t>
      </w:r>
    </w:p>
    <w:p w:rsidR="00DC7F88" w:rsidRDefault="008341A9">
      <w:pPr>
        <w:shd w:val="clear" w:color="auto" w:fill="FFFFFF"/>
        <w:spacing w:line="360" w:lineRule="auto"/>
        <w:ind w:left="36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Gorgosilits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Tamásné - teljes munkaidő</w:t>
      </w:r>
    </w:p>
    <w:p w:rsidR="00DC7F88" w:rsidRDefault="008341A9">
      <w:pPr>
        <w:shd w:val="clear" w:color="auto" w:fill="FFFFFF"/>
        <w:spacing w:line="360" w:lineRule="auto"/>
        <w:ind w:left="36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Molnár Erika - teljes munkaidő</w:t>
      </w:r>
    </w:p>
    <w:p w:rsidR="00DC7F88" w:rsidRDefault="008341A9">
      <w:pPr>
        <w:shd w:val="clear" w:color="auto" w:fill="FFFFFF"/>
        <w:spacing w:line="360" w:lineRule="auto"/>
        <w:ind w:left="36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Weisz Csabáné - teljes munkaidő</w:t>
      </w:r>
    </w:p>
    <w:p w:rsidR="00DC7F88" w:rsidRDefault="008341A9">
      <w:pPr>
        <w:shd w:val="clear" w:color="auto" w:fill="FFFFFF"/>
        <w:spacing w:line="36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Elek Eszter - részmunkaidő</w:t>
      </w:r>
    </w:p>
    <w:p w:rsidR="00DC7F88" w:rsidRDefault="00DC7F88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 xml:space="preserve">3.1.3. </w:t>
      </w: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ab/>
        <w:t>Tanulói év eleji és év végi létszámadatok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DC7F88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DC7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Tanév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eleji  létszám</w:t>
            </w:r>
            <w:proofErr w:type="gramEnd"/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Tanév végi létszám</w:t>
            </w:r>
          </w:p>
        </w:tc>
      </w:tr>
      <w:tr w:rsidR="00DC7F88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Iskola Mosonmagyaróvár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 fő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7F88" w:rsidRDefault="00834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 fő</w:t>
            </w:r>
          </w:p>
        </w:tc>
      </w:tr>
    </w:tbl>
    <w:p w:rsidR="00DC7F88" w:rsidRDefault="00DC7F88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4. Működési és gazdasági célok, tárgyi feltételek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Gazdasági céljaink között elsősorban szerepelt az intézmény likviditásának megőrzése. További céljaink az intézmény infrastruktúrájának fejlesztése: ablakcserék, a diákok és a tanárok számára kialakított mosdók felújítása, tantermek és folyosók világításán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 korszerűsítése, cseréje, fűtési rendszer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optimalizálása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illetve az intézmény bővítési lehetőségeinek felkutatása.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volt levéltári épület (továbbiakban Gimnázium) átvétele után azonnal megkezdődtek a felújítás munkálatai, melyek a 2023-2024-es tanévben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végig tartottak. Az új gimnázium épülete rendkívül korszerű lesz, ugyanakkor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külsejében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őrzi a történelmi múltat. 8 nagy tanterem, egy nagy aula és 5-6 kisebb tanterem, tanulási tér, vizesblokkok kerültek kialakításra. A várható beköltözés 2025. januárjába</w:t>
      </w:r>
      <w:r>
        <w:rPr>
          <w:rFonts w:ascii="Times New Roman" w:eastAsia="Times New Roman" w:hAnsi="Times New Roman" w:cs="Times New Roman"/>
          <w:sz w:val="24"/>
          <w:szCs w:val="24"/>
        </w:rPr>
        <w:t>n történik majd.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Elkészültek a tervek a régi épület felújítására, amely magában foglalja az alsó tagozaton a fűtéskorszerűsítést, teljes burkolatcserét, az elektromos hálózat megújítását, tetőfelújítást, festést. A vizesblokkok,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tornatermi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öltözők felújítá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 az egész épületkomplexumban meg fognak történni, ezen építkezés 2024. novemberében fog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befejeződni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7F88" w:rsidRDefault="008341A9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óvári intézményünk épületegyüttese öt fő részből áll:</w:t>
      </w:r>
    </w:p>
    <w:p w:rsidR="00DC7F88" w:rsidRDefault="00DC7F88">
      <w:pPr>
        <w:tabs>
          <w:tab w:val="left" w:pos="2108"/>
        </w:tabs>
        <w:spacing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Alsó tagozat, rendház, konyha az étkezővel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 Főhercegi kastély</w:t>
      </w:r>
    </w:p>
    <w:p w:rsidR="00DC7F88" w:rsidRDefault="008341A9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Felső tagozat, szaktantermek, k</w:t>
      </w:r>
      <w:r>
        <w:rPr>
          <w:rFonts w:ascii="Times New Roman" w:eastAsia="Times New Roman" w:hAnsi="Times New Roman" w:cs="Times New Roman"/>
          <w:sz w:val="24"/>
          <w:szCs w:val="24"/>
        </w:rPr>
        <w:t>ápolna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Zsidanits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épület</w:t>
      </w:r>
    </w:p>
    <w:p w:rsidR="00DC7F88" w:rsidRDefault="008341A9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Régi gimnázium, tornaterem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 „Új” épület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</w:p>
    <w:p w:rsidR="00DC7F88" w:rsidRDefault="008341A9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Tornaszoba és táncterem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 Régi városháza</w:t>
      </w:r>
    </w:p>
    <w:p w:rsidR="00DC7F88" w:rsidRDefault="008341A9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Gimnázium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 volt Levéltár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osztálytermek egy részének világítását ahogy az előző években is, idén is folyamatosan korszerűsítettü</w:t>
      </w:r>
      <w:r>
        <w:rPr>
          <w:rFonts w:ascii="Times New Roman" w:eastAsia="Times New Roman" w:hAnsi="Times New Roman" w:cs="Times New Roman"/>
          <w:sz w:val="24"/>
          <w:szCs w:val="24"/>
        </w:rPr>
        <w:t>k önerőből, illetve szülői felajánlásokból.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Intézményünk tárgyi ellátottsága az utóbbi évek pályázati lehetőségeinek köszönhetően jónak mondható. Minden tantermünk rendelkezik digitális táblával vagy interaktív táblával. Az intézmény teljes területén elérh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ető a belső számítógépes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hálózat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illetve az internet kábelen vagy wifi-n keresztül.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Számítógépes szaktantermünk gépparkja elöregedett. 28 számítógépből 20 öt éves vagy annál régebbi műszaki állapotnak felel meg. A működésképtelen alkatrészek cseréje a tané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vben folyamatosan alakult. 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mindennapos testnevelés miatt megnövekedett számú testnevelés órákat sajnos nem tudtuk valamennyi alkalommal a tornateremben tartani. Az előző évben a helyhiány csökkentésének érdekében az amúgy sem nagyméretű tornatermünket 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gy mozgatható függönnyel kettéválasztottuk, de ez csak kis részben oldotta meg a problémát: lett két tornaszobánk az egy tornaterem helyett. Sajnos az órák egy részét így is a folyosón, udvaron, osztályteremben kellett megtartanunk. 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6. Az iskola kapcsola</w:t>
      </w:r>
      <w:r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trendszere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4.1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Zsidanits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István Alapítvány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Győr-Moson-Sopron Megyei Bíróság 1995-ben vette nyilvántartásba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Zsidanits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István Alapítványt, melynek névadója,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Zsidanics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István tekinthető iskolánk óvári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szülőatyjának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 Ő volt az, aki biztosította az iskola indulásához szükséges anyagi fedezetet azz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al, hogy 1736-ban kelt végrendeletében magyaróvári házát, valamint 10 000 forintos alapítványt hagyott a piarista rendre. 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Az alapítvány célja az iskolánk fenntartásában való részvétel, a rendeltetésszerű működéssel kapcsolatos költségek fedezése, rászoru</w:t>
      </w:r>
      <w:r>
        <w:rPr>
          <w:rFonts w:ascii="Times New Roman" w:eastAsia="Times New Roman" w:hAnsi="Times New Roman" w:cs="Times New Roman"/>
          <w:sz w:val="24"/>
          <w:szCs w:val="24"/>
        </w:rPr>
        <w:t>ló diákok segélyezésének biztosítása. Ez a tanév folyamán szükség szerint több esetben és folyamatosan megtörtént.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4.2 Piarista Szülői Választmány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Iskolánk szülői munkaközösségével együttműködésben dolgoztunk a 2023-2024-es tanév folyamán. 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4.3 Szencz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 Molnár Albert Magyar Tanítási Nyelvű Gimnázium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Iskolánkat testvériskolai kapcsolat fűzi a fent megjelölt intézményhez. Az előző tanévben a kapcsolat megerősítése történt szóbeli megállapodás útján.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4.4. Diákönkormányzat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Egy köznevelési intézmény működé</w:t>
      </w:r>
      <w:r>
        <w:rPr>
          <w:rFonts w:ascii="Times New Roman" w:eastAsia="Times New Roman" w:hAnsi="Times New Roman" w:cs="Times New Roman"/>
          <w:sz w:val="24"/>
          <w:szCs w:val="24"/>
        </w:rPr>
        <w:t>se nehezen képzelhető el a pedagógusok, szülők és diákok együttműködése nélkül. Ennek a megvalósításához jött létre és kapott szerepet intézményünkben is a Diákönkormányzat. Tagjai a tanulók közösségéből delegált tanulók, akik munkájukkal hozzájárulnak ahh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oz, hogy a diákok ne csak pusztán alanyai legyenek az iskolai életnek, hanem partnerei, aktív alakítói is egyben. </w:t>
      </w:r>
    </w:p>
    <w:p w:rsidR="00DC7F88" w:rsidRDefault="00DC7F8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8341A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4.5. Magyar Piarista Diákszövetség Mosonmagyaróvári Tagozata</w:t>
      </w:r>
    </w:p>
    <w:p w:rsidR="00DC7F88" w:rsidRDefault="008341A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óvári öregdiákokat egybefogó intézmény szoros kapcsolatot ápol az iskolával</w:t>
      </w:r>
      <w:r>
        <w:rPr>
          <w:rFonts w:ascii="Times New Roman" w:eastAsia="Times New Roman" w:hAnsi="Times New Roman" w:cs="Times New Roman"/>
          <w:sz w:val="24"/>
          <w:szCs w:val="24"/>
        </w:rPr>
        <w:t>. A tanév folyamán több olyan program valósult meg, amely volt és jelenlegi diákjainkat, szülőket és családtagokat szólított meg:</w:t>
      </w:r>
    </w:p>
    <w:p w:rsidR="00DC7F88" w:rsidRDefault="008341A9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Iskolai Mikulás-látogatás</w:t>
      </w:r>
    </w:p>
    <w:p w:rsidR="00DC7F88" w:rsidRDefault="008341A9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Disznóvágás az iskolaudvaron</w:t>
      </w:r>
    </w:p>
    <w:p w:rsidR="00DC7F88" w:rsidRDefault="008341A9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Kispályás focitorna</w:t>
      </w:r>
    </w:p>
    <w:p w:rsidR="00DC7F88" w:rsidRDefault="008341A9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Szerenádot adó 12-es diákok vendégül látása az isko</w:t>
      </w:r>
      <w:r>
        <w:rPr>
          <w:rFonts w:ascii="Times New Roman" w:eastAsia="Times New Roman" w:hAnsi="Times New Roman" w:cs="Times New Roman"/>
          <w:sz w:val="24"/>
          <w:szCs w:val="24"/>
        </w:rPr>
        <w:t>la udvarán</w:t>
      </w:r>
    </w:p>
    <w:p w:rsidR="00DC7F88" w:rsidRDefault="008341A9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Lampionos nyári est az iskola udvarán</w:t>
      </w:r>
    </w:p>
    <w:p w:rsidR="00DC7F88" w:rsidRDefault="008341A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Emellett az öregdiákok végezték Halottak napja környékén az óvári és a mosoni temetőben a piarista sírok rendbetételét. </w:t>
      </w: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tabs>
          <w:tab w:val="left" w:pos="2108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F88" w:rsidRDefault="00DC7F88"/>
    <w:sectPr w:rsidR="00DC7F8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E0858"/>
    <w:multiLevelType w:val="multilevel"/>
    <w:tmpl w:val="A6F21A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550F3A"/>
    <w:multiLevelType w:val="multilevel"/>
    <w:tmpl w:val="899499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E1B2B5A"/>
    <w:multiLevelType w:val="multilevel"/>
    <w:tmpl w:val="BF247D4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252701AD"/>
    <w:multiLevelType w:val="multilevel"/>
    <w:tmpl w:val="E67E34B0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upperRoman"/>
      <w:lvlText w:val="%2."/>
      <w:lvlJc w:val="left"/>
      <w:pPr>
        <w:ind w:left="1440" w:hanging="360"/>
      </w:pPr>
    </w:lvl>
    <w:lvl w:ilvl="2">
      <w:start w:val="5"/>
      <w:numFmt w:val="decimal"/>
      <w:lvlText w:val="%3."/>
      <w:lvlJc w:val="left"/>
      <w:pPr>
        <w:ind w:left="2505" w:hanging="705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22902BE"/>
    <w:multiLevelType w:val="multilevel"/>
    <w:tmpl w:val="CD8AA10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E4D5D91"/>
    <w:multiLevelType w:val="multilevel"/>
    <w:tmpl w:val="94FAC6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0C87569"/>
    <w:multiLevelType w:val="multilevel"/>
    <w:tmpl w:val="07BE57AE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upperRoman"/>
      <w:lvlText w:val="%2."/>
      <w:lvlJc w:val="left"/>
      <w:pPr>
        <w:ind w:left="1440" w:hanging="360"/>
      </w:pPr>
    </w:lvl>
    <w:lvl w:ilvl="2">
      <w:start w:val="5"/>
      <w:numFmt w:val="decimal"/>
      <w:lvlText w:val="%3."/>
      <w:lvlJc w:val="left"/>
      <w:pPr>
        <w:ind w:left="2505" w:hanging="705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F5F40AD"/>
    <w:multiLevelType w:val="multilevel"/>
    <w:tmpl w:val="F2D8F1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F88"/>
    <w:rsid w:val="008341A9"/>
    <w:rsid w:val="00D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CDFD7-A13D-4EB4-93E8-F3DB8938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3605</Words>
  <Characters>24875</Characters>
  <Application>Microsoft Office Word</Application>
  <DocSecurity>4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Vámosi Bettina</dc:creator>
  <cp:lastModifiedBy>dr. Vámosi Bettina</cp:lastModifiedBy>
  <cp:revision>2</cp:revision>
  <dcterms:created xsi:type="dcterms:W3CDTF">2024-09-03T14:05:00Z</dcterms:created>
  <dcterms:modified xsi:type="dcterms:W3CDTF">2024-09-03T14:05:00Z</dcterms:modified>
</cp:coreProperties>
</file>